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D9037" w14:textId="1F0D2BCF" w:rsidR="00391372" w:rsidRDefault="000F0437" w:rsidP="000F0437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Extract from </w:t>
      </w:r>
      <w:r w:rsidR="00B53AAD" w:rsidRPr="00BE562A">
        <w:rPr>
          <w:rFonts w:ascii="Arial" w:hAnsi="Arial" w:cs="Arial"/>
          <w:b/>
          <w:u w:val="single"/>
          <w:lang w:val="en-GB"/>
        </w:rPr>
        <w:t>Business Manager</w:t>
      </w:r>
      <w:r>
        <w:rPr>
          <w:rFonts w:ascii="Arial" w:hAnsi="Arial" w:cs="Arial"/>
          <w:b/>
          <w:u w:val="single"/>
          <w:lang w:val="en-GB"/>
        </w:rPr>
        <w:t>’</w:t>
      </w:r>
      <w:r w:rsidR="00B53AAD" w:rsidRPr="00BE562A">
        <w:rPr>
          <w:rFonts w:ascii="Arial" w:hAnsi="Arial" w:cs="Arial"/>
          <w:b/>
          <w:u w:val="single"/>
          <w:lang w:val="en-GB"/>
        </w:rPr>
        <w:t>s</w:t>
      </w:r>
      <w:r w:rsidR="00391372">
        <w:rPr>
          <w:rFonts w:ascii="Arial" w:hAnsi="Arial" w:cs="Arial"/>
          <w:b/>
          <w:u w:val="single"/>
          <w:lang w:val="en-GB"/>
        </w:rPr>
        <w:t xml:space="preserve"> Finance</w:t>
      </w:r>
      <w:r w:rsidR="00B53AAD" w:rsidRPr="00BE562A">
        <w:rPr>
          <w:rFonts w:ascii="Arial" w:hAnsi="Arial" w:cs="Arial"/>
          <w:b/>
          <w:u w:val="single"/>
          <w:lang w:val="en-GB"/>
        </w:rPr>
        <w:t xml:space="preserve"> </w:t>
      </w:r>
      <w:r w:rsidR="00B53FAF" w:rsidRPr="00BE562A">
        <w:rPr>
          <w:rFonts w:ascii="Arial" w:hAnsi="Arial" w:cs="Arial"/>
          <w:b/>
          <w:u w:val="single"/>
          <w:lang w:val="en-GB"/>
        </w:rPr>
        <w:t>Report to Governors</w:t>
      </w:r>
    </w:p>
    <w:p w14:paraId="0E1D79CC" w14:textId="107F6BF7" w:rsidR="00C44A03" w:rsidRPr="00BE562A" w:rsidRDefault="00CE05F1" w:rsidP="000F0437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Resources Committee</w:t>
      </w:r>
    </w:p>
    <w:p w14:paraId="1BD64C45" w14:textId="77777777" w:rsidR="00B53AAD" w:rsidRPr="00BE562A" w:rsidRDefault="00B53AAD" w:rsidP="000F0437">
      <w:pPr>
        <w:rPr>
          <w:rFonts w:ascii="Arial" w:hAnsi="Arial" w:cs="Arial"/>
          <w:b/>
          <w:u w:val="single"/>
          <w:lang w:val="en-GB"/>
        </w:rPr>
      </w:pPr>
    </w:p>
    <w:p w14:paraId="0738BFA6" w14:textId="77777777" w:rsidR="00B53AAD" w:rsidRPr="00BE562A" w:rsidRDefault="00B53AAD" w:rsidP="000F0437">
      <w:pPr>
        <w:rPr>
          <w:rFonts w:ascii="Arial" w:hAnsi="Arial" w:cs="Arial"/>
          <w:b/>
          <w:u w:val="single"/>
          <w:lang w:val="en-GB"/>
        </w:rPr>
      </w:pPr>
      <w:r w:rsidRPr="00BE562A">
        <w:rPr>
          <w:rFonts w:ascii="Arial" w:hAnsi="Arial" w:cs="Arial"/>
          <w:b/>
          <w:u w:val="single"/>
          <w:lang w:val="en-GB"/>
        </w:rPr>
        <w:t>18</w:t>
      </w:r>
      <w:r w:rsidRPr="00BE562A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Pr="00BE562A">
        <w:rPr>
          <w:rFonts w:ascii="Arial" w:hAnsi="Arial" w:cs="Arial"/>
          <w:b/>
          <w:u w:val="single"/>
          <w:lang w:val="en-GB"/>
        </w:rPr>
        <w:t xml:space="preserve"> May 2016</w:t>
      </w:r>
    </w:p>
    <w:p w14:paraId="55D3083E" w14:textId="37724B46" w:rsidR="00812938" w:rsidRPr="00BE562A" w:rsidRDefault="00812938" w:rsidP="000F0437">
      <w:pPr>
        <w:rPr>
          <w:rFonts w:ascii="Arial" w:hAnsi="Arial" w:cs="Arial"/>
          <w:lang w:val="en-GB"/>
        </w:rPr>
      </w:pPr>
    </w:p>
    <w:p w14:paraId="350D1749" w14:textId="77777777" w:rsidR="004C1632" w:rsidRPr="002A6827" w:rsidRDefault="00B53AAD" w:rsidP="000F0437">
      <w:pPr>
        <w:rPr>
          <w:rFonts w:ascii="Arial" w:hAnsi="Arial" w:cs="Arial"/>
          <w:sz w:val="22"/>
          <w:szCs w:val="22"/>
          <w:lang w:val="en-GB"/>
        </w:rPr>
      </w:pPr>
      <w:r w:rsidRPr="002A6827">
        <w:rPr>
          <w:rFonts w:ascii="Arial" w:hAnsi="Arial" w:cs="Arial"/>
          <w:b/>
          <w:sz w:val="22"/>
          <w:szCs w:val="22"/>
          <w:lang w:val="en-GB"/>
        </w:rPr>
        <w:t>2015/16</w:t>
      </w:r>
    </w:p>
    <w:p w14:paraId="575679C4" w14:textId="77777777" w:rsidR="000F0437" w:rsidRDefault="000F0437" w:rsidP="000F0437">
      <w:pPr>
        <w:rPr>
          <w:rFonts w:ascii="Arial" w:hAnsi="Arial" w:cs="Arial"/>
          <w:sz w:val="22"/>
          <w:szCs w:val="22"/>
          <w:lang w:val="en-GB"/>
        </w:rPr>
      </w:pPr>
    </w:p>
    <w:p w14:paraId="04AA210C" w14:textId="77777777" w:rsidR="00B53AAD" w:rsidRPr="002A6827" w:rsidRDefault="00A2465B" w:rsidP="000F0437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2A6827">
        <w:rPr>
          <w:rFonts w:ascii="Arial" w:hAnsi="Arial" w:cs="Arial"/>
          <w:sz w:val="22"/>
          <w:szCs w:val="22"/>
          <w:u w:val="single"/>
          <w:lang w:val="en-GB"/>
        </w:rPr>
        <w:t>Primary Sports Grant</w:t>
      </w:r>
    </w:p>
    <w:p w14:paraId="0DC289E0" w14:textId="4AF2DAA9" w:rsidR="00BE562A" w:rsidRPr="002A6827" w:rsidRDefault="00A2465B" w:rsidP="000F04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2A6827">
        <w:rPr>
          <w:rFonts w:ascii="Arial" w:hAnsi="Arial" w:cs="Arial"/>
          <w:sz w:val="22"/>
          <w:szCs w:val="22"/>
          <w:lang w:val="en-GB"/>
        </w:rPr>
        <w:t xml:space="preserve">The grant is allocated across the academic year from the DFE to the school via the </w:t>
      </w:r>
      <w:r w:rsidR="00263A73" w:rsidRPr="002A6827">
        <w:rPr>
          <w:rFonts w:ascii="Arial" w:hAnsi="Arial" w:cs="Arial"/>
          <w:sz w:val="22"/>
          <w:szCs w:val="22"/>
          <w:lang w:val="en-GB"/>
        </w:rPr>
        <w:t>LA.  15/16</w:t>
      </w:r>
      <w:r w:rsidR="00BE562A" w:rsidRPr="002A6827">
        <w:rPr>
          <w:rFonts w:ascii="Arial" w:hAnsi="Arial" w:cs="Arial"/>
          <w:sz w:val="22"/>
          <w:szCs w:val="22"/>
          <w:lang w:val="en-GB"/>
        </w:rPr>
        <w:t xml:space="preserve"> allocations were calculated using the number of pupils in Years 1 – 6, as recorded on the January 2015 census.  APC’s</w:t>
      </w:r>
      <w:r w:rsidR="00263A73" w:rsidRPr="002A6827">
        <w:rPr>
          <w:rFonts w:ascii="Arial" w:hAnsi="Arial" w:cs="Arial"/>
          <w:sz w:val="22"/>
          <w:szCs w:val="22"/>
          <w:lang w:val="en-GB"/>
        </w:rPr>
        <w:t xml:space="preserve"> total Allocation of </w:t>
      </w:r>
      <w:r w:rsidR="00BE562A" w:rsidRPr="002A6827">
        <w:rPr>
          <w:rFonts w:ascii="Arial" w:hAnsi="Arial" w:cs="Arial"/>
          <w:sz w:val="22"/>
          <w:szCs w:val="22"/>
          <w:lang w:val="en-GB"/>
        </w:rPr>
        <w:t xml:space="preserve">for academic year 2015/16 is </w:t>
      </w:r>
      <w:r w:rsidR="00263A73" w:rsidRPr="002A6827">
        <w:rPr>
          <w:rFonts w:ascii="Arial" w:hAnsi="Arial" w:cs="Arial"/>
          <w:sz w:val="22"/>
          <w:szCs w:val="22"/>
          <w:lang w:val="en-GB"/>
        </w:rPr>
        <w:t>£3,500 which is funded over two fina</w:t>
      </w:r>
      <w:r w:rsidR="00BE562A" w:rsidRPr="002A6827">
        <w:rPr>
          <w:rFonts w:ascii="Arial" w:hAnsi="Arial" w:cs="Arial"/>
          <w:sz w:val="22"/>
          <w:szCs w:val="22"/>
          <w:lang w:val="en-GB"/>
        </w:rPr>
        <w:t xml:space="preserve">ncial years in two tranches.  </w:t>
      </w:r>
    </w:p>
    <w:p w14:paraId="61BB6227" w14:textId="77777777" w:rsidR="008D4AC5" w:rsidRPr="002A6827" w:rsidRDefault="008D4AC5" w:rsidP="000F04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7B3018E8" w14:textId="77777777" w:rsidR="00BE562A" w:rsidRPr="002A6827" w:rsidRDefault="00BE562A" w:rsidP="000F043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2A6827">
        <w:rPr>
          <w:rFonts w:ascii="Arial" w:hAnsi="Arial" w:cs="Arial"/>
          <w:sz w:val="22"/>
          <w:szCs w:val="22"/>
          <w:lang w:val="en-GB"/>
        </w:rPr>
        <w:t>Tranche one: £2,045</w:t>
      </w:r>
      <w:r w:rsidR="005A7DA9" w:rsidRPr="002A6827">
        <w:rPr>
          <w:rFonts w:ascii="Arial" w:hAnsi="Arial" w:cs="Arial"/>
          <w:sz w:val="22"/>
          <w:szCs w:val="22"/>
          <w:lang w:val="en-GB"/>
        </w:rPr>
        <w:t xml:space="preserve"> (received Financial year 2015/16)</w:t>
      </w:r>
    </w:p>
    <w:p w14:paraId="7F3887DE" w14:textId="6CB16D6C" w:rsidR="00BE562A" w:rsidRPr="002A6827" w:rsidRDefault="00BE562A" w:rsidP="000F043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2A6827">
        <w:rPr>
          <w:rFonts w:ascii="Arial" w:hAnsi="Arial" w:cs="Arial"/>
          <w:sz w:val="22"/>
          <w:szCs w:val="22"/>
          <w:lang w:val="en-GB"/>
        </w:rPr>
        <w:t xml:space="preserve">Tranche two: </w:t>
      </w:r>
      <w:r w:rsidR="00CE05F1" w:rsidRPr="002A6827">
        <w:rPr>
          <w:rFonts w:ascii="Arial" w:hAnsi="Arial" w:cs="Arial"/>
          <w:sz w:val="22"/>
          <w:szCs w:val="22"/>
          <w:lang w:val="en-GB"/>
        </w:rPr>
        <w:t xml:space="preserve">£1,425 </w:t>
      </w:r>
      <w:r w:rsidR="005A7DA9" w:rsidRPr="002A6827">
        <w:rPr>
          <w:rFonts w:ascii="Arial" w:hAnsi="Arial" w:cs="Arial"/>
          <w:sz w:val="22"/>
          <w:szCs w:val="22"/>
          <w:lang w:val="en-GB"/>
        </w:rPr>
        <w:t>(received financial year 2016/17)</w:t>
      </w:r>
    </w:p>
    <w:p w14:paraId="6DBFC0B7" w14:textId="77777777" w:rsidR="008D4AC5" w:rsidRPr="002A6827" w:rsidRDefault="008D4AC5" w:rsidP="000F0437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36C15F23" w14:textId="70512FAD" w:rsidR="00A2465B" w:rsidRPr="002A6827" w:rsidRDefault="00263A73" w:rsidP="000F04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6827">
        <w:rPr>
          <w:rFonts w:ascii="Arial" w:hAnsi="Arial" w:cs="Arial"/>
          <w:sz w:val="22"/>
          <w:szCs w:val="22"/>
        </w:rPr>
        <w:t xml:space="preserve">The premium must be used to fund improvements to the provision of PE and sport, for the benefit of primary-aged pupils, in the 2015/16 academic year to give them the opportunity </w:t>
      </w:r>
      <w:r w:rsidR="00BE562A" w:rsidRPr="002A6827">
        <w:rPr>
          <w:rFonts w:ascii="Arial" w:hAnsi="Arial" w:cs="Arial"/>
          <w:sz w:val="22"/>
          <w:szCs w:val="22"/>
        </w:rPr>
        <w:t>to develop a healthy lifestyle.</w:t>
      </w:r>
    </w:p>
    <w:p w14:paraId="759F0225" w14:textId="77777777" w:rsidR="008D4AC5" w:rsidRPr="002A6827" w:rsidRDefault="008D4AC5" w:rsidP="000F04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9982B1" w14:textId="1D801DE9" w:rsidR="008D4AC5" w:rsidRPr="002A6827" w:rsidRDefault="002A6827" w:rsidP="000F04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558D">
        <w:rPr>
          <w:rFonts w:ascii="Arial" w:hAnsi="Arial" w:cs="Arial"/>
          <w:i/>
          <w:sz w:val="22"/>
          <w:szCs w:val="22"/>
        </w:rPr>
        <w:t>Appendix 3</w:t>
      </w:r>
      <w:r w:rsidR="00340E8D" w:rsidRPr="002A6827">
        <w:rPr>
          <w:rFonts w:ascii="Arial" w:hAnsi="Arial" w:cs="Arial"/>
          <w:sz w:val="22"/>
          <w:szCs w:val="22"/>
        </w:rPr>
        <w:t xml:space="preserve"> identifies the actual spends during financial year 2015/16 - (Tranche 1 £2,042) and is impact on pupils is evidenced below: </w:t>
      </w:r>
    </w:p>
    <w:p w14:paraId="57083295" w14:textId="77777777" w:rsidR="002A6827" w:rsidRDefault="002A6827" w:rsidP="000F04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F09918B" w14:textId="5589291C" w:rsidR="00A26376" w:rsidRPr="00A26376" w:rsidRDefault="00804F22" w:rsidP="000F04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hAnsi="Arial" w:cs="Arial"/>
          <w:sz w:val="22"/>
          <w:szCs w:val="22"/>
        </w:rPr>
      </w:pPr>
      <w:r w:rsidRPr="00A26376">
        <w:rPr>
          <w:rFonts w:ascii="Arial" w:hAnsi="Arial" w:cs="Arial"/>
          <w:b/>
          <w:sz w:val="22"/>
          <w:szCs w:val="22"/>
        </w:rPr>
        <w:t>Football Goals at Burgess Hill £1,904.26</w:t>
      </w:r>
    </w:p>
    <w:p w14:paraId="6D214634" w14:textId="77777777" w:rsidR="00A26376" w:rsidRPr="00A26376" w:rsidRDefault="00A26376" w:rsidP="000F0437">
      <w:pPr>
        <w:rPr>
          <w:rFonts w:ascii="Arial" w:hAnsi="Arial" w:cs="Arial"/>
          <w:b/>
          <w:sz w:val="22"/>
          <w:szCs w:val="22"/>
          <w:u w:val="single"/>
        </w:rPr>
      </w:pPr>
      <w:r w:rsidRPr="00A26376">
        <w:rPr>
          <w:rFonts w:ascii="Arial" w:hAnsi="Arial" w:cs="Arial"/>
          <w:b/>
          <w:sz w:val="22"/>
          <w:szCs w:val="22"/>
          <w:u w:val="single"/>
        </w:rPr>
        <w:t>The engagement of all pupils Healthy Lifestyles</w:t>
      </w:r>
    </w:p>
    <w:p w14:paraId="308F2863" w14:textId="77777777" w:rsidR="00A26376" w:rsidRPr="00A26376" w:rsidRDefault="00A26376" w:rsidP="000F0437">
      <w:pPr>
        <w:pStyle w:val="ListParagraph"/>
        <w:numPr>
          <w:ilvl w:val="0"/>
          <w:numId w:val="5"/>
        </w:numPr>
        <w:spacing w:after="200"/>
        <w:rPr>
          <w:rFonts w:ascii="Arial" w:hAnsi="Arial" w:cs="Arial"/>
          <w:sz w:val="22"/>
          <w:szCs w:val="22"/>
        </w:rPr>
      </w:pPr>
      <w:r w:rsidRPr="00A26376">
        <w:rPr>
          <w:rFonts w:ascii="Arial" w:hAnsi="Arial" w:cs="Arial"/>
          <w:sz w:val="22"/>
          <w:szCs w:val="22"/>
        </w:rPr>
        <w:t>All pupils within Branch access PE on a daily basis.</w:t>
      </w:r>
    </w:p>
    <w:p w14:paraId="7F0D1C3A" w14:textId="77777777" w:rsidR="00A26376" w:rsidRPr="00A26376" w:rsidRDefault="00A26376" w:rsidP="000F0437">
      <w:pPr>
        <w:pStyle w:val="ListParagraph"/>
        <w:numPr>
          <w:ilvl w:val="0"/>
          <w:numId w:val="5"/>
        </w:numPr>
        <w:spacing w:after="200"/>
        <w:rPr>
          <w:rFonts w:ascii="Arial" w:hAnsi="Arial" w:cs="Arial"/>
          <w:sz w:val="22"/>
          <w:szCs w:val="22"/>
        </w:rPr>
      </w:pPr>
      <w:r w:rsidRPr="00A26376">
        <w:rPr>
          <w:rFonts w:ascii="Arial" w:hAnsi="Arial" w:cs="Arial"/>
          <w:sz w:val="22"/>
          <w:szCs w:val="22"/>
        </w:rPr>
        <w:t>All pupils will have some PE lessons with a PE Specialist.</w:t>
      </w:r>
    </w:p>
    <w:p w14:paraId="3500DB1A" w14:textId="77777777" w:rsidR="00A26376" w:rsidRPr="00A26376" w:rsidRDefault="00A26376" w:rsidP="000F0437">
      <w:pPr>
        <w:pStyle w:val="ListParagraph"/>
        <w:numPr>
          <w:ilvl w:val="0"/>
          <w:numId w:val="5"/>
        </w:numPr>
        <w:spacing w:after="200"/>
        <w:rPr>
          <w:rFonts w:ascii="Arial" w:hAnsi="Arial" w:cs="Arial"/>
          <w:sz w:val="22"/>
          <w:szCs w:val="22"/>
        </w:rPr>
      </w:pPr>
      <w:r w:rsidRPr="00A26376">
        <w:rPr>
          <w:rFonts w:ascii="Arial" w:hAnsi="Arial" w:cs="Arial"/>
          <w:sz w:val="22"/>
          <w:szCs w:val="22"/>
        </w:rPr>
        <w:t>Pupils are encouraged at break time to access sporting activities and when dry access the field and the goals.</w:t>
      </w:r>
    </w:p>
    <w:p w14:paraId="7CE23C00" w14:textId="77777777" w:rsidR="00A26376" w:rsidRPr="00A26376" w:rsidRDefault="00A26376" w:rsidP="000F0437">
      <w:pPr>
        <w:pStyle w:val="ListParagraph"/>
        <w:numPr>
          <w:ilvl w:val="0"/>
          <w:numId w:val="5"/>
        </w:numPr>
        <w:spacing w:after="200"/>
        <w:rPr>
          <w:rFonts w:ascii="Arial" w:hAnsi="Arial" w:cs="Arial"/>
          <w:sz w:val="22"/>
          <w:szCs w:val="22"/>
        </w:rPr>
      </w:pPr>
      <w:r w:rsidRPr="00A26376">
        <w:rPr>
          <w:rFonts w:ascii="Arial" w:hAnsi="Arial" w:cs="Arial"/>
          <w:sz w:val="22"/>
          <w:szCs w:val="22"/>
        </w:rPr>
        <w:t>With daily exercise and a monitored diet when at school, pupils are actively encouraged to adopt healthy lifestyles forming good habits for the future.</w:t>
      </w:r>
    </w:p>
    <w:p w14:paraId="0E24B7C0" w14:textId="77777777" w:rsidR="00A26376" w:rsidRPr="00A26376" w:rsidRDefault="00A26376" w:rsidP="000F0437">
      <w:pPr>
        <w:rPr>
          <w:rFonts w:ascii="Arial" w:hAnsi="Arial" w:cs="Arial"/>
          <w:b/>
          <w:sz w:val="22"/>
          <w:szCs w:val="22"/>
          <w:u w:val="single"/>
        </w:rPr>
      </w:pPr>
      <w:r w:rsidRPr="00A26376">
        <w:rPr>
          <w:rFonts w:ascii="Arial" w:hAnsi="Arial" w:cs="Arial"/>
          <w:b/>
          <w:sz w:val="22"/>
          <w:szCs w:val="22"/>
          <w:u w:val="single"/>
        </w:rPr>
        <w:t>Profile of PE – raised – tool</w:t>
      </w:r>
    </w:p>
    <w:p w14:paraId="31A9FC05" w14:textId="77777777" w:rsidR="00A26376" w:rsidRPr="00A26376" w:rsidRDefault="00A26376" w:rsidP="000F0437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A26376">
        <w:rPr>
          <w:rFonts w:ascii="Arial" w:hAnsi="Arial" w:cs="Arial"/>
          <w:sz w:val="22"/>
          <w:szCs w:val="22"/>
        </w:rPr>
        <w:t>During the last academic year and the appointment of a PE specialist the profile of PE has been raised within the Primary Centre at APC.  With specialist teaching the goals can be implemented in a concise and measured way all allowing sport and PE to be part of whole school improvement.</w:t>
      </w:r>
    </w:p>
    <w:p w14:paraId="6136194A" w14:textId="77777777" w:rsidR="00A26376" w:rsidRPr="00A26376" w:rsidRDefault="00A26376" w:rsidP="000F0437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A26376">
        <w:rPr>
          <w:rFonts w:ascii="Arial" w:hAnsi="Arial" w:cs="Arial"/>
          <w:sz w:val="22"/>
          <w:szCs w:val="22"/>
        </w:rPr>
        <w:t>Pupils are aware and respond well to the daily PE sessions and as a result are often able to access classroom learning in a more positive way.</w:t>
      </w:r>
    </w:p>
    <w:p w14:paraId="7375250A" w14:textId="77777777" w:rsidR="00A26376" w:rsidRPr="00A26376" w:rsidRDefault="00A26376" w:rsidP="000F0437">
      <w:pPr>
        <w:rPr>
          <w:rFonts w:ascii="Arial" w:hAnsi="Arial" w:cs="Arial"/>
          <w:b/>
          <w:sz w:val="22"/>
          <w:szCs w:val="22"/>
          <w:u w:val="single"/>
        </w:rPr>
      </w:pPr>
      <w:r w:rsidRPr="00A26376">
        <w:rPr>
          <w:rFonts w:ascii="Arial" w:hAnsi="Arial" w:cs="Arial"/>
          <w:b/>
          <w:sz w:val="22"/>
          <w:szCs w:val="22"/>
          <w:u w:val="single"/>
        </w:rPr>
        <w:t>Increased Knowledge</w:t>
      </w:r>
    </w:p>
    <w:p w14:paraId="701AE5D1" w14:textId="77777777" w:rsidR="00A26376" w:rsidRPr="00A26376" w:rsidRDefault="00A26376" w:rsidP="000F0437">
      <w:pPr>
        <w:pStyle w:val="ListParagraph"/>
        <w:numPr>
          <w:ilvl w:val="0"/>
          <w:numId w:val="7"/>
        </w:numPr>
        <w:spacing w:after="200"/>
        <w:rPr>
          <w:rFonts w:ascii="Arial" w:hAnsi="Arial" w:cs="Arial"/>
          <w:sz w:val="22"/>
          <w:szCs w:val="22"/>
        </w:rPr>
      </w:pPr>
      <w:r w:rsidRPr="00A26376">
        <w:rPr>
          <w:rFonts w:ascii="Arial" w:hAnsi="Arial" w:cs="Arial"/>
          <w:sz w:val="22"/>
          <w:szCs w:val="22"/>
        </w:rPr>
        <w:t>The PE teacher has disseminated knowledge and skill to Primary staff and has through coaching increased their confidence to deliver PE lessons.</w:t>
      </w:r>
    </w:p>
    <w:p w14:paraId="52EF866D" w14:textId="77777777" w:rsidR="00A26376" w:rsidRPr="00A26376" w:rsidRDefault="00A26376" w:rsidP="000F0437">
      <w:pPr>
        <w:rPr>
          <w:rFonts w:ascii="Arial" w:hAnsi="Arial" w:cs="Arial"/>
          <w:b/>
          <w:sz w:val="22"/>
          <w:szCs w:val="22"/>
          <w:u w:val="single"/>
        </w:rPr>
      </w:pPr>
      <w:r w:rsidRPr="00A26376">
        <w:rPr>
          <w:rFonts w:ascii="Arial" w:hAnsi="Arial" w:cs="Arial"/>
          <w:b/>
          <w:sz w:val="22"/>
          <w:szCs w:val="22"/>
          <w:u w:val="single"/>
        </w:rPr>
        <w:t>Broader Experience</w:t>
      </w:r>
    </w:p>
    <w:p w14:paraId="4A04D50B" w14:textId="77777777" w:rsidR="00A26376" w:rsidRPr="00A26376" w:rsidRDefault="00A26376" w:rsidP="000F0437">
      <w:pPr>
        <w:pStyle w:val="ListParagraph"/>
        <w:numPr>
          <w:ilvl w:val="0"/>
          <w:numId w:val="7"/>
        </w:numPr>
        <w:spacing w:after="200"/>
        <w:rPr>
          <w:rFonts w:ascii="Arial" w:hAnsi="Arial" w:cs="Arial"/>
          <w:sz w:val="22"/>
          <w:szCs w:val="22"/>
        </w:rPr>
      </w:pPr>
      <w:r w:rsidRPr="00A26376">
        <w:rPr>
          <w:rFonts w:ascii="Arial" w:hAnsi="Arial" w:cs="Arial"/>
          <w:sz w:val="22"/>
          <w:szCs w:val="22"/>
        </w:rPr>
        <w:t>Pupils can access a range of sporting activities that can challenge and inspire them.</w:t>
      </w:r>
    </w:p>
    <w:p w14:paraId="366DF1D8" w14:textId="77777777" w:rsidR="00A26376" w:rsidRPr="00A26376" w:rsidRDefault="00A26376" w:rsidP="000F0437">
      <w:pPr>
        <w:pStyle w:val="ListParagraph"/>
        <w:numPr>
          <w:ilvl w:val="0"/>
          <w:numId w:val="7"/>
        </w:numPr>
        <w:spacing w:after="200"/>
        <w:rPr>
          <w:rFonts w:ascii="Arial" w:hAnsi="Arial" w:cs="Arial"/>
          <w:sz w:val="22"/>
          <w:szCs w:val="22"/>
        </w:rPr>
      </w:pPr>
      <w:r w:rsidRPr="00A26376">
        <w:rPr>
          <w:rFonts w:ascii="Arial" w:hAnsi="Arial" w:cs="Arial"/>
          <w:sz w:val="22"/>
          <w:szCs w:val="22"/>
        </w:rPr>
        <w:t>The lessons are very motivational for Primary pupils and allow all pupils to gain knowledge and experience in a range of sports.</w:t>
      </w:r>
    </w:p>
    <w:p w14:paraId="65C3ED96" w14:textId="77777777" w:rsidR="000F0437" w:rsidRDefault="000F0437" w:rsidP="000F0437">
      <w:pPr>
        <w:rPr>
          <w:rFonts w:ascii="Arial" w:hAnsi="Arial" w:cs="Arial"/>
          <w:b/>
          <w:sz w:val="22"/>
          <w:szCs w:val="22"/>
          <w:u w:val="single"/>
        </w:rPr>
      </w:pPr>
    </w:p>
    <w:p w14:paraId="32E3C60F" w14:textId="77777777" w:rsidR="00A26376" w:rsidRPr="00A26376" w:rsidRDefault="00A26376" w:rsidP="000F0437">
      <w:pPr>
        <w:rPr>
          <w:rFonts w:ascii="Arial" w:hAnsi="Arial" w:cs="Arial"/>
          <w:b/>
          <w:sz w:val="22"/>
          <w:szCs w:val="22"/>
          <w:u w:val="single"/>
        </w:rPr>
      </w:pPr>
      <w:r w:rsidRPr="00A26376">
        <w:rPr>
          <w:rFonts w:ascii="Arial" w:hAnsi="Arial" w:cs="Arial"/>
          <w:b/>
          <w:sz w:val="22"/>
          <w:szCs w:val="22"/>
          <w:u w:val="single"/>
        </w:rPr>
        <w:t>Competitive Sports</w:t>
      </w:r>
    </w:p>
    <w:p w14:paraId="6731F813" w14:textId="77777777" w:rsidR="00A26376" w:rsidRPr="00A26376" w:rsidRDefault="00A26376" w:rsidP="000F0437">
      <w:pPr>
        <w:pStyle w:val="ListParagraph"/>
        <w:numPr>
          <w:ilvl w:val="0"/>
          <w:numId w:val="8"/>
        </w:numPr>
        <w:spacing w:after="200"/>
        <w:rPr>
          <w:rFonts w:ascii="Arial" w:hAnsi="Arial" w:cs="Arial"/>
          <w:sz w:val="22"/>
          <w:szCs w:val="22"/>
        </w:rPr>
      </w:pPr>
      <w:r w:rsidRPr="00A26376">
        <w:rPr>
          <w:rFonts w:ascii="Arial" w:hAnsi="Arial" w:cs="Arial"/>
          <w:sz w:val="22"/>
          <w:szCs w:val="22"/>
        </w:rPr>
        <w:t>Within the Primary Centre all pupils are expected to participate in PE and to develop varying levels of experience.</w:t>
      </w:r>
    </w:p>
    <w:p w14:paraId="0306EDD0" w14:textId="77777777" w:rsidR="00A26376" w:rsidRPr="00A26376" w:rsidRDefault="00A26376" w:rsidP="000F0437">
      <w:pPr>
        <w:pStyle w:val="ListParagraph"/>
        <w:numPr>
          <w:ilvl w:val="0"/>
          <w:numId w:val="8"/>
        </w:numPr>
        <w:spacing w:after="200"/>
        <w:rPr>
          <w:rFonts w:ascii="Arial" w:hAnsi="Arial" w:cs="Arial"/>
          <w:sz w:val="22"/>
          <w:szCs w:val="22"/>
        </w:rPr>
      </w:pPr>
      <w:r w:rsidRPr="00A26376">
        <w:rPr>
          <w:rFonts w:ascii="Arial" w:hAnsi="Arial" w:cs="Arial"/>
          <w:sz w:val="22"/>
          <w:szCs w:val="22"/>
        </w:rPr>
        <w:lastRenderedPageBreak/>
        <w:t>Pupils are encouraged in a positive and caring environment to understand the implication of competitive sport.</w:t>
      </w:r>
    </w:p>
    <w:p w14:paraId="3BDDF02C" w14:textId="77777777" w:rsidR="00A26376" w:rsidRPr="00A26376" w:rsidRDefault="00A26376" w:rsidP="000F0437">
      <w:pPr>
        <w:pStyle w:val="ListParagraph"/>
        <w:numPr>
          <w:ilvl w:val="0"/>
          <w:numId w:val="8"/>
        </w:numPr>
        <w:spacing w:after="200"/>
        <w:rPr>
          <w:rFonts w:ascii="Arial" w:hAnsi="Arial" w:cs="Arial"/>
          <w:sz w:val="22"/>
          <w:szCs w:val="22"/>
        </w:rPr>
      </w:pPr>
      <w:r w:rsidRPr="00A26376">
        <w:rPr>
          <w:rFonts w:ascii="Arial" w:hAnsi="Arial" w:cs="Arial"/>
          <w:sz w:val="22"/>
          <w:szCs w:val="22"/>
        </w:rPr>
        <w:t>Pupils have an understanding that it is essential that they take part in all activities and hopefully gain enjoyment through the activities.</w:t>
      </w:r>
    </w:p>
    <w:p w14:paraId="39363648" w14:textId="6B41B54E" w:rsidR="00804F22" w:rsidRPr="00A26376" w:rsidRDefault="00A26376" w:rsidP="000F0437">
      <w:pPr>
        <w:pStyle w:val="ListParagraph"/>
        <w:numPr>
          <w:ilvl w:val="0"/>
          <w:numId w:val="8"/>
        </w:numPr>
        <w:spacing w:after="200"/>
        <w:rPr>
          <w:rFonts w:ascii="Arial" w:hAnsi="Arial" w:cs="Arial"/>
          <w:sz w:val="22"/>
          <w:szCs w:val="22"/>
        </w:rPr>
      </w:pPr>
      <w:r w:rsidRPr="00A26376">
        <w:rPr>
          <w:rFonts w:ascii="Arial" w:hAnsi="Arial" w:cs="Arial"/>
          <w:sz w:val="22"/>
          <w:szCs w:val="22"/>
        </w:rPr>
        <w:t>Competition within PE is encouraged in a supportive environment to ensure that pupils are aware of their individual and specific achievement.</w:t>
      </w:r>
    </w:p>
    <w:p w14:paraId="3E6D4727" w14:textId="77777777" w:rsidR="000F0437" w:rsidRDefault="00804F22" w:rsidP="000F04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right"/>
        <w:rPr>
          <w:rFonts w:ascii="Arial" w:hAnsi="Arial" w:cs="Arial"/>
          <w:b/>
          <w:sz w:val="22"/>
          <w:szCs w:val="22"/>
        </w:rPr>
      </w:pPr>
      <w:r w:rsidRPr="00A26376">
        <w:rPr>
          <w:rFonts w:ascii="Arial" w:hAnsi="Arial" w:cs="Arial"/>
          <w:b/>
          <w:i/>
          <w:sz w:val="22"/>
          <w:szCs w:val="22"/>
        </w:rPr>
        <w:t>(Cathy Meyer -</w:t>
      </w:r>
      <w:r w:rsidR="000F0437">
        <w:rPr>
          <w:rFonts w:ascii="Arial" w:hAnsi="Arial" w:cs="Arial"/>
          <w:b/>
          <w:i/>
          <w:sz w:val="22"/>
          <w:szCs w:val="22"/>
        </w:rPr>
        <w:t xml:space="preserve"> HOC Burgess Hill)</w:t>
      </w:r>
      <w:r w:rsidR="000F0437" w:rsidRPr="000F0437">
        <w:rPr>
          <w:rFonts w:ascii="Arial" w:hAnsi="Arial" w:cs="Arial"/>
          <w:b/>
          <w:sz w:val="22"/>
          <w:szCs w:val="22"/>
        </w:rPr>
        <w:t xml:space="preserve"> </w:t>
      </w:r>
    </w:p>
    <w:p w14:paraId="263BE0FC" w14:textId="619E05D8" w:rsidR="000F0437" w:rsidRPr="00391372" w:rsidRDefault="000F0437" w:rsidP="000F04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hAnsi="Arial" w:cs="Arial"/>
          <w:b/>
          <w:sz w:val="22"/>
          <w:szCs w:val="22"/>
        </w:rPr>
      </w:pPr>
      <w:r w:rsidRPr="00391372">
        <w:rPr>
          <w:rFonts w:ascii="Arial" w:hAnsi="Arial" w:cs="Arial"/>
          <w:b/>
          <w:sz w:val="22"/>
          <w:szCs w:val="22"/>
        </w:rPr>
        <w:t xml:space="preserve">Playground Markings at </w:t>
      </w:r>
      <w:r>
        <w:rPr>
          <w:rFonts w:ascii="Arial" w:hAnsi="Arial" w:cs="Arial"/>
          <w:b/>
          <w:sz w:val="22"/>
          <w:szCs w:val="22"/>
        </w:rPr>
        <w:t xml:space="preserve">APC </w:t>
      </w:r>
      <w:r w:rsidRPr="00391372">
        <w:rPr>
          <w:rFonts w:ascii="Arial" w:hAnsi="Arial" w:cs="Arial"/>
          <w:b/>
          <w:sz w:val="22"/>
          <w:szCs w:val="22"/>
        </w:rPr>
        <w:t>Lancing £1,000</w:t>
      </w:r>
    </w:p>
    <w:p w14:paraId="6232E050" w14:textId="5083A7A9" w:rsidR="000F0437" w:rsidRPr="00391372" w:rsidRDefault="000F0437" w:rsidP="000F0437">
      <w:p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 w:rsidRPr="00391372">
        <w:rPr>
          <w:rFonts w:ascii="Arial" w:eastAsia="Times New Roman" w:hAnsi="Arial" w:cs="Arial"/>
          <w:color w:val="000000"/>
          <w:sz w:val="22"/>
          <w:szCs w:val="22"/>
        </w:rPr>
        <w:t>Prior to last summer APC Lancing had no playground facilities, markings or equipment.  By adding basic markings for hopscotch, number squares and compass clock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391372">
        <w:rPr>
          <w:rFonts w:ascii="Arial" w:eastAsia="Times New Roman" w:hAnsi="Arial" w:cs="Arial"/>
          <w:color w:val="000000"/>
          <w:sz w:val="22"/>
          <w:szCs w:val="22"/>
        </w:rPr>
        <w:t xml:space="preserve"> physical</w:t>
      </w:r>
      <w:proofErr w:type="gramEnd"/>
      <w:r w:rsidRPr="00391372">
        <w:rPr>
          <w:rFonts w:ascii="Arial" w:eastAsia="Times New Roman" w:hAnsi="Arial" w:cs="Arial"/>
          <w:color w:val="000000"/>
          <w:sz w:val="22"/>
          <w:szCs w:val="22"/>
        </w:rPr>
        <w:t xml:space="preserve"> activity has been planned into the general teaching of literacy and numeracy.  Physical activity is then encouraged throughout the school day in order to teach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social skills and team work.  The m</w:t>
      </w:r>
      <w:r w:rsidRPr="00391372">
        <w:rPr>
          <w:rFonts w:ascii="Arial" w:eastAsia="Times New Roman" w:hAnsi="Arial" w:cs="Arial"/>
          <w:color w:val="000000"/>
          <w:sz w:val="22"/>
          <w:szCs w:val="22"/>
        </w:rPr>
        <w:t>ajority of students wh</w:t>
      </w:r>
      <w:r>
        <w:rPr>
          <w:rFonts w:ascii="Arial" w:eastAsia="Times New Roman" w:hAnsi="Arial" w:cs="Arial"/>
          <w:color w:val="000000"/>
          <w:sz w:val="22"/>
          <w:szCs w:val="22"/>
        </w:rPr>
        <w:t>o attend APC have previously ha</w:t>
      </w:r>
      <w:r w:rsidRPr="00391372">
        <w:rPr>
          <w:rFonts w:ascii="Arial" w:eastAsia="Times New Roman" w:hAnsi="Arial" w:cs="Arial"/>
          <w:color w:val="000000"/>
          <w:sz w:val="22"/>
          <w:szCs w:val="22"/>
        </w:rPr>
        <w:t>d difficulties maintaining positive behavio</w:t>
      </w: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Pr="00391372">
        <w:rPr>
          <w:rFonts w:ascii="Arial" w:eastAsia="Times New Roman" w:hAnsi="Arial" w:cs="Arial"/>
          <w:color w:val="000000"/>
          <w:sz w:val="22"/>
          <w:szCs w:val="22"/>
        </w:rPr>
        <w:t>r during unstructured times of the day.  By incorporatin</w:t>
      </w:r>
      <w:r>
        <w:rPr>
          <w:rFonts w:ascii="Arial" w:eastAsia="Times New Roman" w:hAnsi="Arial" w:cs="Arial"/>
          <w:color w:val="000000"/>
          <w:sz w:val="22"/>
          <w:szCs w:val="22"/>
        </w:rPr>
        <w:t>g physical activity into the teaching day behaviour</w:t>
      </w:r>
      <w:r w:rsidRPr="00391372">
        <w:rPr>
          <w:rFonts w:ascii="Arial" w:eastAsia="Times New Roman" w:hAnsi="Arial" w:cs="Arial"/>
          <w:color w:val="000000"/>
          <w:sz w:val="22"/>
          <w:szCs w:val="22"/>
        </w:rPr>
        <w:t xml:space="preserve"> is improved. </w:t>
      </w:r>
    </w:p>
    <w:p w14:paraId="5CD899D1" w14:textId="77777777" w:rsidR="006D4F09" w:rsidRDefault="000F0437" w:rsidP="000F04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right"/>
        <w:rPr>
          <w:rFonts w:ascii="Arial" w:hAnsi="Arial" w:cs="Arial"/>
          <w:b/>
          <w:i/>
          <w:sz w:val="22"/>
          <w:szCs w:val="22"/>
        </w:rPr>
        <w:sectPr w:rsidR="006D4F09" w:rsidSect="00912D18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i/>
          <w:sz w:val="22"/>
          <w:szCs w:val="22"/>
        </w:rPr>
        <w:t>(Ruth McDonald - HOC Lancing)</w:t>
      </w:r>
    </w:p>
    <w:p w14:paraId="71D0C17E" w14:textId="3A2E9E4F" w:rsidR="000F0437" w:rsidRPr="00834629" w:rsidRDefault="000F0437" w:rsidP="000F0437">
      <w:pPr>
        <w:spacing w:before="86" w:line="276" w:lineRule="auto"/>
        <w:rPr>
          <w:rFonts w:ascii="Minion Pro" w:hAnsi="Minion Pro"/>
          <w:b/>
          <w:u w:val="single"/>
        </w:rPr>
      </w:pPr>
      <w:bookmarkStart w:id="0" w:name="_GoBack"/>
      <w:bookmarkEnd w:id="0"/>
      <w:r w:rsidRPr="00834629">
        <w:rPr>
          <w:rFonts w:ascii="Minion Pro" w:hAnsi="Minion Pro"/>
          <w:b/>
          <w:bCs/>
          <w:color w:val="000000"/>
          <w:u w:val="single"/>
          <w:lang w:eastAsia="en-GB"/>
        </w:rPr>
        <w:lastRenderedPageBreak/>
        <w:t xml:space="preserve">Primary Sports Grant </w:t>
      </w:r>
      <w:r>
        <w:rPr>
          <w:rFonts w:ascii="Minion Pro" w:hAnsi="Minion Pro"/>
          <w:b/>
          <w:bCs/>
          <w:color w:val="000000"/>
          <w:u w:val="single"/>
          <w:lang w:eastAsia="en-GB"/>
        </w:rPr>
        <w:t xml:space="preserve">Tranche 2 </w:t>
      </w:r>
      <w:r w:rsidRPr="00834629">
        <w:rPr>
          <w:rFonts w:ascii="Minion Pro" w:hAnsi="Minion Pro"/>
          <w:b/>
          <w:bCs/>
          <w:color w:val="000000"/>
          <w:u w:val="single"/>
          <w:lang w:eastAsia="en-GB"/>
        </w:rPr>
        <w:t xml:space="preserve">– Funding </w:t>
      </w:r>
      <w:r>
        <w:rPr>
          <w:rFonts w:ascii="Minion Pro" w:hAnsi="Minion Pro"/>
          <w:b/>
          <w:bCs/>
          <w:color w:val="000000"/>
          <w:u w:val="single"/>
          <w:lang w:eastAsia="en-GB"/>
        </w:rPr>
        <w:t>/ Anticipated Outcomes (Funding Received Across Financial Years)</w:t>
      </w:r>
    </w:p>
    <w:p w14:paraId="709BFD1A" w14:textId="77777777" w:rsidR="000F0437" w:rsidRPr="00680ED0" w:rsidRDefault="000F0437" w:rsidP="000F0437">
      <w:pPr>
        <w:spacing w:before="86"/>
        <w:rPr>
          <w:rFonts w:ascii="Minion Pro" w:hAnsi="Minion Pro"/>
        </w:rPr>
      </w:pPr>
    </w:p>
    <w:tbl>
      <w:tblPr>
        <w:tblW w:w="13892" w:type="dxa"/>
        <w:tblInd w:w="-10" w:type="dxa"/>
        <w:tblLook w:val="04A0" w:firstRow="1" w:lastRow="0" w:firstColumn="1" w:lastColumn="0" w:noHBand="0" w:noVBand="1"/>
      </w:tblPr>
      <w:tblGrid>
        <w:gridCol w:w="2080"/>
        <w:gridCol w:w="1753"/>
        <w:gridCol w:w="1926"/>
        <w:gridCol w:w="1084"/>
        <w:gridCol w:w="1084"/>
        <w:gridCol w:w="1881"/>
        <w:gridCol w:w="1940"/>
        <w:gridCol w:w="2144"/>
      </w:tblGrid>
      <w:tr w:rsidR="000F0437" w:rsidRPr="000E5435" w14:paraId="52966511" w14:textId="77777777" w:rsidTr="006C038F">
        <w:trPr>
          <w:gridAfter w:val="4"/>
          <w:wAfter w:w="7049" w:type="dxa"/>
          <w:trHeight w:val="975"/>
        </w:trPr>
        <w:tc>
          <w:tcPr>
            <w:tcW w:w="3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49B1E0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lang w:eastAsia="en-GB"/>
              </w:rPr>
              <w:t>Academic Year:</w:t>
            </w:r>
            <w:r w:rsidRPr="000E5435">
              <w:rPr>
                <w:rFonts w:ascii="Minion Pro" w:eastAsia="Times New Roman" w:hAnsi="Minion Pro" w:cs="Times New Roman"/>
                <w:color w:val="000000"/>
                <w:lang w:eastAsia="en-GB"/>
              </w:rPr>
              <w:br/>
            </w:r>
            <w:sdt>
              <w:sdtPr>
                <w:rPr>
                  <w:rFonts w:ascii="Minion Pro" w:eastAsia="Times New Roman" w:hAnsi="Minion Pro" w:cs="Times New Roman"/>
                  <w:b/>
                  <w:bCs/>
                  <w:color w:val="000000"/>
                  <w:lang w:eastAsia="en-GB"/>
                </w:rPr>
                <w:id w:val="952558251"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>
                  <w:rPr>
                    <w:rFonts w:ascii="Minion Pro" w:eastAsia="Times New Roman" w:hAnsi="Minion Pro" w:cs="Times New Roman"/>
                    <w:b/>
                    <w:bCs/>
                    <w:color w:val="000000"/>
                    <w:lang w:eastAsia="en-GB"/>
                  </w:rPr>
                  <w:t>2015</w:t>
                </w:r>
              </w:sdtContent>
            </w:sdt>
            <w:r w:rsidRPr="000E5435">
              <w:rPr>
                <w:rFonts w:ascii="Minion Pro" w:eastAsia="Times New Roman" w:hAnsi="Minion Pro" w:cs="Times New Roman"/>
                <w:b/>
                <w:bCs/>
                <w:color w:val="000000"/>
                <w:lang w:eastAsia="en-GB"/>
              </w:rPr>
              <w:t>/</w:t>
            </w:r>
            <w:sdt>
              <w:sdtPr>
                <w:rPr>
                  <w:rFonts w:ascii="Minion Pro" w:eastAsia="Times New Roman" w:hAnsi="Minion Pro" w:cs="Times New Roman"/>
                  <w:b/>
                  <w:bCs/>
                  <w:color w:val="000000"/>
                  <w:lang w:eastAsia="en-GB"/>
                </w:rPr>
                <w:id w:val="952558252"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>
                <w:rPr>
                  <w:rFonts w:ascii="Trajan Pro" w:hAnsi="Trajan Pro"/>
                </w:rPr>
              </w:sdtEndPr>
              <w:sdtContent>
                <w:r>
                  <w:rPr>
                    <w:rFonts w:ascii="Minion Pro" w:eastAsia="Times New Roman" w:hAnsi="Minion Pro" w:cs="Times New Roman"/>
                    <w:b/>
                    <w:bCs/>
                    <w:color w:val="000000"/>
                    <w:lang w:eastAsia="en-GB"/>
                  </w:rPr>
                  <w:t>2016</w:t>
                </w:r>
              </w:sdtContent>
            </w:sdt>
          </w:p>
        </w:tc>
        <w:tc>
          <w:tcPr>
            <w:tcW w:w="30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39B9B6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>Total fund allocated:</w:t>
            </w:r>
            <w:r w:rsidRPr="000E5435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br/>
              <w:t>£</w:t>
            </w:r>
            <w:r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>1,425</w:t>
            </w:r>
          </w:p>
        </w:tc>
      </w:tr>
      <w:tr w:rsidR="000F0437" w:rsidRPr="001A0FD4" w14:paraId="6DE98300" w14:textId="77777777" w:rsidTr="006C038F">
        <w:trPr>
          <w:trHeight w:val="18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B010DE" w14:textId="77777777" w:rsidR="000F0437" w:rsidRPr="001A0FD4" w:rsidRDefault="000F0437" w:rsidP="006C038F">
            <w:pPr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</w:pPr>
            <w:r w:rsidRPr="001A0FD4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>PE and Sport Premium Key Outcome Indicator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8410BA" w14:textId="77777777" w:rsidR="000F0437" w:rsidRPr="001A0FD4" w:rsidRDefault="000F0437" w:rsidP="006C038F">
            <w:pPr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</w:pPr>
            <w:r w:rsidRPr="001A0FD4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 xml:space="preserve">School Focus/ planned </w:t>
            </w:r>
            <w:r w:rsidRPr="001A0FD4">
              <w:rPr>
                <w:rFonts w:ascii="Minion Pro" w:eastAsia="Times New Roman" w:hAnsi="Minion Pro" w:cs="Times New Roman"/>
                <w:b/>
                <w:bCs/>
                <w:color w:val="000000"/>
                <w:u w:val="single"/>
                <w:lang w:eastAsia="en-GB"/>
              </w:rPr>
              <w:t>Impact</w:t>
            </w:r>
            <w:r w:rsidRPr="001A0FD4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 xml:space="preserve"> </w:t>
            </w:r>
            <w:r w:rsidRPr="001A0FD4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lang w:eastAsia="en-GB"/>
              </w:rPr>
              <w:t>on pupils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82A7FB" w14:textId="77777777" w:rsidR="000F0437" w:rsidRPr="001A0FD4" w:rsidRDefault="000F0437" w:rsidP="006C038F">
            <w:pPr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</w:pPr>
            <w:r w:rsidRPr="001A0FD4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>Actions to Achieve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731E21" w14:textId="77777777" w:rsidR="000F0437" w:rsidRPr="001A0FD4" w:rsidRDefault="000F0437" w:rsidP="006C038F">
            <w:pPr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</w:pPr>
            <w:r w:rsidRPr="001A0FD4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>Planned Funding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579893" w14:textId="77777777" w:rsidR="000F0437" w:rsidRPr="001A0FD4" w:rsidRDefault="000F0437" w:rsidP="006C038F">
            <w:pPr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</w:pPr>
            <w:r w:rsidRPr="001A0FD4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>Actual Funding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852F46" w14:textId="77777777" w:rsidR="000F0437" w:rsidRPr="001A0FD4" w:rsidRDefault="000F0437" w:rsidP="006C038F">
            <w:pPr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</w:pPr>
            <w:r w:rsidRPr="001A0FD4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>Evidence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734B40" w14:textId="77777777" w:rsidR="000F0437" w:rsidRPr="001A0FD4" w:rsidRDefault="000F0437" w:rsidP="006C038F">
            <w:pPr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</w:pPr>
            <w:r w:rsidRPr="001A0FD4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 xml:space="preserve">Actual Impact (following Review) </w:t>
            </w:r>
            <w:r w:rsidRPr="001A0FD4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lang w:eastAsia="en-GB"/>
              </w:rPr>
              <w:t>on pupils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71AA047" w14:textId="77777777" w:rsidR="000F0437" w:rsidRPr="001A0FD4" w:rsidRDefault="000F0437" w:rsidP="006C038F">
            <w:pPr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</w:pPr>
            <w:r w:rsidRPr="001A0FD4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 xml:space="preserve">Sustainability/ </w:t>
            </w:r>
          </w:p>
          <w:p w14:paraId="0383AF52" w14:textId="77777777" w:rsidR="000F0437" w:rsidRPr="001A0FD4" w:rsidRDefault="000F0437" w:rsidP="006C038F">
            <w:pPr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</w:pPr>
            <w:r w:rsidRPr="001A0FD4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>Next Steps</w:t>
            </w:r>
          </w:p>
        </w:tc>
      </w:tr>
      <w:tr w:rsidR="000F0437" w:rsidRPr="000E5435" w14:paraId="3C8609F5" w14:textId="77777777" w:rsidTr="006C038F">
        <w:trPr>
          <w:trHeight w:val="13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Minion Pro" w:eastAsia="Times New Roman" w:hAnsi="Minion Pro" w:cs="Times New Roman"/>
                <w:color w:val="000000"/>
                <w:lang w:eastAsia="en-GB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14:paraId="32538944" w14:textId="77777777" w:rsidR="000F0437" w:rsidRPr="000E5435" w:rsidRDefault="000F0437" w:rsidP="006C038F">
                <w:pPr>
                  <w:rPr>
                    <w:rFonts w:ascii="Minion Pro" w:eastAsia="Times New Roman" w:hAnsi="Minion Pro" w:cs="Times New Roman"/>
                    <w:color w:val="000000"/>
                    <w:lang w:eastAsia="en-GB"/>
                  </w:rPr>
                </w:pPr>
                <w:r>
                  <w:rPr>
                    <w:rFonts w:ascii="Minion Pro" w:eastAsia="Times New Roman" w:hAnsi="Minion Pro" w:cs="Times New Roman"/>
                    <w:color w:val="000000"/>
                    <w:lang w:eastAsia="en-GB"/>
                  </w:rPr>
                  <w:t>1. the engagement of all pupils in regular physical activity – kick-starting healthy active lifestyles</w:t>
                </w:r>
              </w:p>
            </w:sdtContent>
          </w:sdt>
          <w:p w14:paraId="49C5CFB1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</w:p>
          <w:p w14:paraId="44BD98E9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F3CB" w14:textId="77777777" w:rsidR="000F0437" w:rsidRPr="00692EC3" w:rsidRDefault="000F0437" w:rsidP="006C038F">
            <w:pPr>
              <w:rPr>
                <w:rFonts w:ascii="Minion Pro" w:eastAsia="Times New Roman" w:hAnsi="Minion Pro" w:cs="Times New Roman"/>
                <w:color w:val="808080" w:themeColor="background1" w:themeShade="80"/>
                <w:lang w:eastAsia="en-GB"/>
              </w:rPr>
            </w:pPr>
            <w:r w:rsidRPr="00692EC3">
              <w:rPr>
                <w:rFonts w:ascii="Minion Pro" w:eastAsia="Times New Roman" w:hAnsi="Minion Pro" w:cs="Times New Roman"/>
                <w:color w:val="808080" w:themeColor="background1" w:themeShade="80"/>
                <w:lang w:eastAsia="en-GB"/>
              </w:rPr>
              <w:t>Refer WSAPC QIP Sept '15 Curriculum item 3.</w:t>
            </w:r>
          </w:p>
          <w:p w14:paraId="6B5881B8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692EC3">
              <w:rPr>
                <w:rFonts w:ascii="Minion Pro" w:eastAsia="Times New Roman" w:hAnsi="Minion Pro" w:cs="Times New Roman"/>
                <w:color w:val="808080" w:themeColor="background1" w:themeShade="80"/>
                <w:lang w:eastAsia="en-GB"/>
              </w:rPr>
              <w:t>All Primary pupils to have access to at least 2 lessons of PE per week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5AEB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Qualified/skilled PE practitioner to prepare and teach. Ensure facilities available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B293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289D00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DC8B" w14:textId="77777777" w:rsidR="000F0437" w:rsidRPr="00692EC3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lang w:eastAsia="en-GB"/>
              </w:rPr>
              <w:t xml:space="preserve"> </w:t>
            </w: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 xml:space="preserve">Timetable. </w:t>
            </w:r>
            <w:proofErr w:type="spellStart"/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SofW</w:t>
            </w:r>
            <w:proofErr w:type="spellEnd"/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.</w:t>
            </w:r>
          </w:p>
          <w:p w14:paraId="6AE8AEA3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KS progress indicators.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80A403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 xml:space="preserve">Positive impact behaviorally. </w:t>
            </w:r>
            <w:proofErr w:type="gramStart"/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on</w:t>
            </w:r>
            <w:proofErr w:type="gramEnd"/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 xml:space="preserve"> pupils around schools and in classrooms. Improved attendance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211096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lang w:eastAsia="en-GB"/>
              </w:rPr>
              <w:t xml:space="preserve"> </w:t>
            </w: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Peer Observe. Moderation</w:t>
            </w:r>
          </w:p>
        </w:tc>
      </w:tr>
      <w:tr w:rsidR="000F0437" w:rsidRPr="000E5435" w14:paraId="5D6678F5" w14:textId="77777777" w:rsidTr="006C038F">
        <w:trPr>
          <w:trHeight w:val="133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D012" w14:textId="77777777" w:rsidR="000F0437" w:rsidRPr="000E5435" w:rsidRDefault="00296F6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lang w:eastAsia="en-GB"/>
                </w:rPr>
                <w:id w:val="-139566003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0F0437">
                  <w:rPr>
                    <w:rFonts w:ascii="Minion Pro" w:eastAsia="Times New Roman" w:hAnsi="Minion Pro" w:cs="Times New Roman"/>
                    <w:color w:val="000000"/>
                    <w:lang w:eastAsia="en-GB"/>
                  </w:rPr>
                  <w:t>2. the profile of PE and sport being raised across the school as a tool for whole school improvement</w:t>
                </w:r>
              </w:sdtContent>
            </w:sdt>
          </w:p>
          <w:p w14:paraId="07933B1A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</w:p>
          <w:p w14:paraId="364F11F6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E914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 xml:space="preserve">Each Primary unit to have structured / progressive / tracked PE via PE specialist. Improvement of </w:t>
            </w:r>
            <w:proofErr w:type="gramStart"/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facilities  e.g</w:t>
            </w:r>
            <w:proofErr w:type="gramEnd"/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 xml:space="preserve">. floor markings and </w:t>
            </w: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lastRenderedPageBreak/>
              <w:t>goal posts.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6E86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lang w:eastAsia="en-GB"/>
              </w:rPr>
              <w:lastRenderedPageBreak/>
              <w:t xml:space="preserve"> </w:t>
            </w: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 xml:space="preserve">Employ / train / contract externally 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BE61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BA75D1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A006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lang w:eastAsia="en-GB"/>
              </w:rPr>
              <w:t xml:space="preserve"> </w:t>
            </w: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 xml:space="preserve">All primary units' pupils have the opportunity of accessing sport via either qualified staff, externally contracted </w:t>
            </w:r>
            <w:proofErr w:type="spellStart"/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organisation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602DC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Majority of Primary pupils engaging well.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8955A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lang w:eastAsia="en-GB"/>
              </w:rPr>
              <w:t xml:space="preserve"> </w:t>
            </w: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Visit and observe. Moderation</w:t>
            </w:r>
          </w:p>
        </w:tc>
      </w:tr>
      <w:tr w:rsidR="000F0437" w:rsidRPr="000E5435" w14:paraId="2E8F6209" w14:textId="77777777" w:rsidTr="006C038F">
        <w:trPr>
          <w:trHeight w:val="133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31FC" w14:textId="77777777" w:rsidR="000F0437" w:rsidRPr="000E5435" w:rsidRDefault="00296F6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lang w:eastAsia="en-GB"/>
                </w:rPr>
                <w:id w:val="81592851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0F0437">
                  <w:rPr>
                    <w:rFonts w:ascii="Minion Pro" w:eastAsia="Times New Roman" w:hAnsi="Minion Pro" w:cs="Times New Roman"/>
                    <w:color w:val="000000"/>
                    <w:lang w:eastAsia="en-GB"/>
                  </w:rPr>
                  <w:t>3. increased confidence, knowledge and skills of all staff in teaching PE and sport</w:t>
                </w:r>
              </w:sdtContent>
            </w:sdt>
          </w:p>
          <w:p w14:paraId="5CF9685D" w14:textId="77777777" w:rsidR="000F0437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8D20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High quality PE, better engagement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008F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Identify needs.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320E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B478E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182E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Improved participation and differentiation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D97D2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 xml:space="preserve">Positive impact behaviorally. </w:t>
            </w:r>
            <w:proofErr w:type="gramStart"/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on</w:t>
            </w:r>
            <w:proofErr w:type="gramEnd"/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 xml:space="preserve"> pupils around schools and in classrooms. Improved attendance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6177A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Peer observation. Internal training and coaching</w:t>
            </w:r>
          </w:p>
        </w:tc>
      </w:tr>
      <w:tr w:rsidR="000F0437" w:rsidRPr="000E5435" w14:paraId="4B9D4965" w14:textId="77777777" w:rsidTr="006C038F">
        <w:trPr>
          <w:trHeight w:val="133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CE62" w14:textId="77777777" w:rsidR="000F0437" w:rsidRPr="000E5435" w:rsidRDefault="00296F6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lang w:eastAsia="en-GB"/>
                </w:rPr>
                <w:id w:val="-175597455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0F0437">
                  <w:rPr>
                    <w:rFonts w:ascii="Minion Pro" w:eastAsia="Times New Roman" w:hAnsi="Minion Pro" w:cs="Times New Roman"/>
                    <w:color w:val="000000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14:paraId="12EA5AA6" w14:textId="77777777" w:rsidR="000F0437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4C00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Access to Forest School. Improved social skills/working within boundaries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7099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Launch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53D4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CD955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92AE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Behavior modification linked to desire to do FS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A0057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Behavior modification linked to desire to do FS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BEF6F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Increase frequency of access to FS.</w:t>
            </w:r>
          </w:p>
        </w:tc>
      </w:tr>
      <w:tr w:rsidR="000F0437" w:rsidRPr="000E5435" w14:paraId="6DDECB4B" w14:textId="77777777" w:rsidTr="006C038F">
        <w:trPr>
          <w:trHeight w:val="133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79E3" w14:textId="77777777" w:rsidR="000F0437" w:rsidRPr="000E5435" w:rsidRDefault="00296F6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lang w:eastAsia="en-GB"/>
                </w:rPr>
                <w:id w:val="-1442756178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0F0437">
                  <w:rPr>
                    <w:rFonts w:ascii="Minion Pro" w:eastAsia="Times New Roman" w:hAnsi="Minion Pro" w:cs="Times New Roman"/>
                    <w:color w:val="000000"/>
                    <w:lang w:eastAsia="en-GB"/>
                  </w:rPr>
                  <w:t>5. increased participation in competitive sport</w:t>
                </w:r>
              </w:sdtContent>
            </w:sdt>
          </w:p>
          <w:p w14:paraId="0EF1DD46" w14:textId="77777777" w:rsidR="000F0437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77CE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Improved tolerance of others, team ethos and motivation to succeed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0E94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Ongoing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F73F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1BD731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728E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Engagement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67FE4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en-GB"/>
              </w:rPr>
              <w:t>I</w:t>
            </w:r>
            <w:r w:rsidRPr="00692EC3">
              <w:rPr>
                <w:rFonts w:ascii="Minion Pro" w:eastAsia="Times New Roman" w:hAnsi="Minion Pro" w:cs="Times New Roman"/>
                <w:color w:val="000000"/>
                <w:lang w:eastAsia="en-GB"/>
              </w:rPr>
              <w:t>mproved tolerance of others, team ethos and motivation to succeed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4FA2F" w14:textId="77777777" w:rsidR="000F0437" w:rsidRPr="000E5435" w:rsidRDefault="000F0437" w:rsidP="006C038F">
            <w:pPr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</w:p>
        </w:tc>
      </w:tr>
    </w:tbl>
    <w:p w14:paraId="09589E90" w14:textId="3517B0E3" w:rsidR="00E808D6" w:rsidRPr="000F0437" w:rsidRDefault="00E808D6" w:rsidP="007443FA">
      <w:pPr>
        <w:tabs>
          <w:tab w:val="left" w:pos="2580"/>
        </w:tabs>
        <w:rPr>
          <w:rFonts w:ascii="Arial" w:hAnsi="Arial" w:cs="Arial"/>
          <w:lang w:val="en-GB"/>
        </w:rPr>
      </w:pPr>
    </w:p>
    <w:sectPr w:rsidR="00E808D6" w:rsidRPr="000F0437" w:rsidSect="006D4F09">
      <w:footerReference w:type="default" r:id="rId8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C1921" w14:textId="77777777" w:rsidR="001A61D9" w:rsidRDefault="001A61D9" w:rsidP="001A61D9">
      <w:r>
        <w:separator/>
      </w:r>
    </w:p>
  </w:endnote>
  <w:endnote w:type="continuationSeparator" w:id="0">
    <w:p w14:paraId="02A95905" w14:textId="77777777" w:rsidR="001A61D9" w:rsidRDefault="001A61D9" w:rsidP="001A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CD772" w14:textId="692F078C" w:rsidR="00FF3A61" w:rsidRDefault="00FF3A61" w:rsidP="00FF3A61">
    <w:pPr>
      <w:pStyle w:val="Footer"/>
      <w:jc w:val="right"/>
    </w:pPr>
    <w:r>
      <w:t xml:space="preserve">  SBM Finance Report to Resources Committee May 16                                                              Page </w:t>
    </w:r>
    <w:sdt>
      <w:sdtPr>
        <w:id w:val="-15826747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F09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7156D279" w14:textId="52BDC97F" w:rsidR="001A61D9" w:rsidRDefault="001A6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DD79E" w14:textId="77777777" w:rsidR="001A61D9" w:rsidRDefault="001A61D9" w:rsidP="001A61D9">
      <w:r>
        <w:separator/>
      </w:r>
    </w:p>
  </w:footnote>
  <w:footnote w:type="continuationSeparator" w:id="0">
    <w:p w14:paraId="6E9F1997" w14:textId="77777777" w:rsidR="001A61D9" w:rsidRDefault="001A61D9" w:rsidP="001A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CD306E"/>
    <w:multiLevelType w:val="hybridMultilevel"/>
    <w:tmpl w:val="5A9C7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D69E8"/>
    <w:multiLevelType w:val="hybridMultilevel"/>
    <w:tmpl w:val="4E4C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146D2"/>
    <w:multiLevelType w:val="multilevel"/>
    <w:tmpl w:val="62C2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06F21"/>
    <w:multiLevelType w:val="hybridMultilevel"/>
    <w:tmpl w:val="3896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506E0"/>
    <w:multiLevelType w:val="hybridMultilevel"/>
    <w:tmpl w:val="C986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C03BF"/>
    <w:multiLevelType w:val="hybridMultilevel"/>
    <w:tmpl w:val="BDE0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A565A"/>
    <w:multiLevelType w:val="hybridMultilevel"/>
    <w:tmpl w:val="F9B6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43DA1"/>
    <w:multiLevelType w:val="hybridMultilevel"/>
    <w:tmpl w:val="F47A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F769A"/>
    <w:multiLevelType w:val="multilevel"/>
    <w:tmpl w:val="AC9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93262"/>
    <w:multiLevelType w:val="hybridMultilevel"/>
    <w:tmpl w:val="2ABE0E3C"/>
    <w:lvl w:ilvl="0" w:tplc="B714F2D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D49F3"/>
    <w:multiLevelType w:val="hybridMultilevel"/>
    <w:tmpl w:val="402EB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AF"/>
    <w:rsid w:val="000D66E3"/>
    <w:rsid w:val="000F0437"/>
    <w:rsid w:val="00197279"/>
    <w:rsid w:val="001A61D9"/>
    <w:rsid w:val="001D7C31"/>
    <w:rsid w:val="00263A73"/>
    <w:rsid w:val="00296F67"/>
    <w:rsid w:val="002A6827"/>
    <w:rsid w:val="003005F3"/>
    <w:rsid w:val="00340E8D"/>
    <w:rsid w:val="00391372"/>
    <w:rsid w:val="003B51B5"/>
    <w:rsid w:val="00413F40"/>
    <w:rsid w:val="004C1632"/>
    <w:rsid w:val="00574E28"/>
    <w:rsid w:val="005A7DA9"/>
    <w:rsid w:val="00667283"/>
    <w:rsid w:val="006C400E"/>
    <w:rsid w:val="006D4F09"/>
    <w:rsid w:val="0072433C"/>
    <w:rsid w:val="007443FA"/>
    <w:rsid w:val="00802D5E"/>
    <w:rsid w:val="00804F22"/>
    <w:rsid w:val="00812938"/>
    <w:rsid w:val="008D1315"/>
    <w:rsid w:val="008D4AC5"/>
    <w:rsid w:val="00912D18"/>
    <w:rsid w:val="00924D12"/>
    <w:rsid w:val="009F57FD"/>
    <w:rsid w:val="00A230B1"/>
    <w:rsid w:val="00A2465B"/>
    <w:rsid w:val="00A26376"/>
    <w:rsid w:val="00B53AAD"/>
    <w:rsid w:val="00B53FAF"/>
    <w:rsid w:val="00BB0CBB"/>
    <w:rsid w:val="00BE562A"/>
    <w:rsid w:val="00C81DE1"/>
    <w:rsid w:val="00C92CCB"/>
    <w:rsid w:val="00CC710A"/>
    <w:rsid w:val="00CE05F1"/>
    <w:rsid w:val="00DF7806"/>
    <w:rsid w:val="00E4419D"/>
    <w:rsid w:val="00E45688"/>
    <w:rsid w:val="00E808D6"/>
    <w:rsid w:val="00F8558D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E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A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7279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5A7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1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1D9"/>
  </w:style>
  <w:style w:type="paragraph" w:styleId="Footer">
    <w:name w:val="footer"/>
    <w:basedOn w:val="Normal"/>
    <w:link w:val="FooterChar"/>
    <w:uiPriority w:val="99"/>
    <w:unhideWhenUsed/>
    <w:rsid w:val="001A61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D9"/>
  </w:style>
  <w:style w:type="paragraph" w:styleId="BalloonText">
    <w:name w:val="Balloon Text"/>
    <w:basedOn w:val="Normal"/>
    <w:link w:val="BalloonTextChar"/>
    <w:uiPriority w:val="99"/>
    <w:semiHidden/>
    <w:unhideWhenUsed/>
    <w:rsid w:val="00F85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A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7279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5A7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1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1D9"/>
  </w:style>
  <w:style w:type="paragraph" w:styleId="Footer">
    <w:name w:val="footer"/>
    <w:basedOn w:val="Normal"/>
    <w:link w:val="FooterChar"/>
    <w:uiPriority w:val="99"/>
    <w:unhideWhenUsed/>
    <w:rsid w:val="001A61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D9"/>
  </w:style>
  <w:style w:type="paragraph" w:styleId="BalloonText">
    <w:name w:val="Balloon Text"/>
    <w:basedOn w:val="Normal"/>
    <w:link w:val="BalloonTextChar"/>
    <w:uiPriority w:val="99"/>
    <w:semiHidden/>
    <w:unhideWhenUsed/>
    <w:rsid w:val="00F85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Channon</dc:creator>
  <cp:lastModifiedBy>Rebecca Newey</cp:lastModifiedBy>
  <cp:revision>2</cp:revision>
  <cp:lastPrinted>2016-05-18T11:16:00Z</cp:lastPrinted>
  <dcterms:created xsi:type="dcterms:W3CDTF">2016-07-14T08:14:00Z</dcterms:created>
  <dcterms:modified xsi:type="dcterms:W3CDTF">2016-07-14T08:14:00Z</dcterms:modified>
</cp:coreProperties>
</file>